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23B" w:rsidRPr="00B4523B" w:rsidRDefault="00B4523B" w:rsidP="00B4523B">
      <w:r w:rsidRPr="00B4523B">
        <w:t>Marco Fossati ha insegnato Storia e Filosofia al Liceo classico “G. Berchet” di Milano. Per Edizioni Scolastiche Bruno Mondadori è autore di numerosi manuali di storia per le scuole superiori.</w:t>
      </w:r>
    </w:p>
    <w:p w:rsidR="00A67858" w:rsidRDefault="00A67858"/>
    <w:p w:rsidR="00B4523B" w:rsidRPr="00B4523B" w:rsidRDefault="00B4523B" w:rsidP="00B4523B">
      <w:pPr>
        <w:rPr>
          <w:b/>
          <w:bCs/>
          <w:sz w:val="36"/>
          <w:szCs w:val="36"/>
        </w:rPr>
      </w:pPr>
      <w:r w:rsidRPr="00B4523B">
        <w:rPr>
          <w:b/>
          <w:bCs/>
          <w:sz w:val="36"/>
          <w:szCs w:val="36"/>
        </w:rPr>
        <w:t>«La Siria non è la Libia»</w:t>
      </w:r>
    </w:p>
    <w:p w:rsidR="00B4523B" w:rsidRDefault="00B4523B" w:rsidP="00B4523B">
      <w:r w:rsidRPr="00B4523B">
        <w:rPr>
          <w:sz w:val="36"/>
          <w:szCs w:val="36"/>
        </w:rPr>
        <w:t>Guerre ed equilibri mediorientali</w:t>
      </w:r>
      <w:r>
        <w:rPr>
          <w:sz w:val="36"/>
          <w:szCs w:val="36"/>
        </w:rPr>
        <w:t xml:space="preserve"> </w:t>
      </w:r>
      <w:r w:rsidRPr="00B4523B">
        <w:t>di Marco Fossati</w:t>
      </w:r>
    </w:p>
    <w:p w:rsidR="00B4523B" w:rsidRDefault="00B4523B" w:rsidP="00B4523B"/>
    <w:p w:rsidR="00B4523B" w:rsidRPr="00B4523B" w:rsidRDefault="00B4523B" w:rsidP="00B4523B">
      <w:r w:rsidRPr="00B4523B">
        <w:rPr>
          <w:i/>
        </w:rPr>
        <w:t>I</w:t>
      </w:r>
      <w:r w:rsidRPr="00B4523B">
        <w:rPr>
          <w:i/>
          <w:iCs/>
        </w:rPr>
        <w:t xml:space="preserve">l sistema di valori che esprime una determinata società e i giudizi che ne derivano sono il prodotto dei processi storici che li strutturano e li orientano. Così anche il modo in cui in Italia e, più generalmente, in Europa è stato posto e valutato il tema della guerra ha subito importanti correzioni negli ultimi anni. In questi mesi si è ripreso a discutere di guerra in relazione a due paesi dello scenario mediorientale: Siria e Iran. </w:t>
      </w:r>
    </w:p>
    <w:p w:rsidR="00B4523B" w:rsidRPr="00B4523B" w:rsidRDefault="00B4523B" w:rsidP="00B4523B"/>
    <w:p w:rsidR="00B4523B" w:rsidRPr="00B4523B" w:rsidRDefault="00B4523B" w:rsidP="00B4523B">
      <w:pPr>
        <w:rPr>
          <w:b/>
          <w:bCs/>
        </w:rPr>
      </w:pPr>
      <w:r w:rsidRPr="00B4523B">
        <w:rPr>
          <w:b/>
          <w:bCs/>
        </w:rPr>
        <w:t>Variazioni di giudizio sulla guerra</w:t>
      </w:r>
    </w:p>
    <w:p w:rsidR="00B4523B" w:rsidRPr="00B4523B" w:rsidRDefault="00B4523B" w:rsidP="00B4523B">
      <w:r w:rsidRPr="00B4523B">
        <w:t xml:space="preserve">Nella seconda metà del Novecento, negli anni della contrapposizione fra Stati Uniti e Unione Sovietica, il </w:t>
      </w:r>
      <w:r w:rsidRPr="00B4523B">
        <w:rPr>
          <w:b/>
          <w:bCs/>
        </w:rPr>
        <w:t>rifiuto della guerra</w:t>
      </w:r>
      <w:r w:rsidRPr="00B4523B">
        <w:t xml:space="preserve"> in ogni sua forma sembrava il sentimento prevalente. Vi contribuivano la memoria delle distruzioni subite durante la Seconda guerra mondiale e la prospettiva atomica, che conferiva uno scenario catastrofico a qualunque conflitto generalizzato, ma anche il fatto di trovarsi sulla linea del fronte in una eventuale guerra non più soltanto “fredda” fra Est e Ovest. Più ampio e articolato poteva apparire il ventaglio dei giudizi riguardo a conflitti che si svolgevano su teatri lontani e che, pur essendo il vero risvolto “caldo” della guerra fredda, lasciavano l’Europa nella tribuna degli spettatori. Negli anni sessanta e settanta si sviluppò un vasto </w:t>
      </w:r>
      <w:r w:rsidRPr="00B4523B">
        <w:rPr>
          <w:b/>
          <w:bCs/>
        </w:rPr>
        <w:t>movimento pacifista</w:t>
      </w:r>
      <w:r w:rsidRPr="00B4523B">
        <w:t xml:space="preserve"> che prese posizione a favore dei popoli in lotta contro l’imperialismo delle grandi potenze. La guerra nel Sud-Est asiatico venne a rappresentare il punto di aggregazione simbolica di questo movimento il cui carattere profondamente antiamericano lasciò un’impronta duratura nei giovani che allora lo animavano. Al tempo dell’invasione sovietica dell’</w:t>
      </w:r>
      <w:r w:rsidRPr="00B4523B">
        <w:rPr>
          <w:b/>
          <w:bCs/>
        </w:rPr>
        <w:t>Afghanistan</w:t>
      </w:r>
      <w:r w:rsidRPr="00B4523B">
        <w:t xml:space="preserve"> (27 dicembre 1979) i protagonisti delle “marce per il Vietnam” avevano ormai smesso di marciare e i combattenti per la libertà di quel paese trovarono, in Occidente, solo la solidarietà di qualche movimento della destra anticomunista, oltre a quella di milioni di musulmani nel mondo.  </w:t>
      </w:r>
    </w:p>
    <w:p w:rsidR="00B4523B" w:rsidRPr="00B4523B" w:rsidRDefault="00B4523B" w:rsidP="00B4523B"/>
    <w:p w:rsidR="00B4523B" w:rsidRPr="00B4523B" w:rsidRDefault="00B4523B" w:rsidP="00B4523B">
      <w:pPr>
        <w:rPr>
          <w:b/>
          <w:bCs/>
        </w:rPr>
      </w:pPr>
      <w:r w:rsidRPr="00B4523B">
        <w:rPr>
          <w:b/>
          <w:bCs/>
        </w:rPr>
        <w:t>La s</w:t>
      </w:r>
      <w:r>
        <w:rPr>
          <w:b/>
          <w:bCs/>
        </w:rPr>
        <w:t xml:space="preserve">peranza di ridurre e governare </w:t>
      </w:r>
      <w:r w:rsidRPr="00B4523B">
        <w:rPr>
          <w:b/>
          <w:bCs/>
        </w:rPr>
        <w:t>i conflitti</w:t>
      </w:r>
    </w:p>
    <w:p w:rsidR="00B4523B" w:rsidRPr="00B4523B" w:rsidRDefault="00B4523B" w:rsidP="00B4523B">
      <w:r w:rsidRPr="00B4523B">
        <w:t xml:space="preserve">Il </w:t>
      </w:r>
      <w:r w:rsidRPr="00B4523B">
        <w:rPr>
          <w:b/>
          <w:bCs/>
        </w:rPr>
        <w:t xml:space="preserve">crollo del Muro di Berlino </w:t>
      </w:r>
      <w:r w:rsidRPr="00B4523B">
        <w:t xml:space="preserve">nel 1989 non ridimensionò il tema della guerra, ma ne modificò il carattere: era venuto meno il pericolo di un conflitto generalizzato che, proprio in ragione delle sue conseguenze globalmente distruttive, era stato tenuto a lungo sotto controllo, ed erano balzati in primo piano i </w:t>
      </w:r>
      <w:r w:rsidRPr="00B4523B">
        <w:rPr>
          <w:b/>
          <w:bCs/>
        </w:rPr>
        <w:t>tanti conflitti locali</w:t>
      </w:r>
      <w:r w:rsidRPr="00B4523B">
        <w:t>, alcuni dei quali (pensiamo al Medio Oriente) capaci di produrre echi devastanti su scala mondiale. Gli anni novanta del XX secolo furono segnati dal tentativo di contenere e governare questi conflitti in un quadro internazionale dominato dall’</w:t>
      </w:r>
      <w:r w:rsidRPr="00B4523B">
        <w:rPr>
          <w:b/>
          <w:bCs/>
        </w:rPr>
        <w:t xml:space="preserve">unica grande potenza </w:t>
      </w:r>
      <w:r w:rsidRPr="00B4523B">
        <w:t>uscita vincitrice dalla guerra fredda. Non abbiamo qui lo spazio per analizzare le ragioni per cui questo sforzo è in gran parte fallito, ma è bene ricordare che uno dei suoi primi atti fu l’intervento militare contro l’Iraq</w:t>
      </w:r>
      <w:r w:rsidRPr="00B4523B">
        <w:rPr>
          <w:b/>
          <w:bCs/>
        </w:rPr>
        <w:t xml:space="preserve"> </w:t>
      </w:r>
      <w:r w:rsidRPr="00B4523B">
        <w:t xml:space="preserve">(Guerra del Golfo, 1991), dopo l’invasione del Kuwait da questo compiuta (1990), cui prese parte, sotto il comando americano e con l’approvazione dell’ONU, una coalizione formata da 34 paesi, fra i quali quasi tutti quelli europei, Italia compresa.  </w:t>
      </w:r>
    </w:p>
    <w:p w:rsidR="00B4523B" w:rsidRPr="00B4523B" w:rsidRDefault="00B4523B" w:rsidP="00B4523B"/>
    <w:p w:rsidR="00B4523B" w:rsidRPr="00B4523B" w:rsidRDefault="00B4523B" w:rsidP="00B4523B">
      <w:pPr>
        <w:rPr>
          <w:b/>
          <w:bCs/>
        </w:rPr>
      </w:pPr>
      <w:r w:rsidRPr="00B4523B">
        <w:rPr>
          <w:b/>
          <w:bCs/>
        </w:rPr>
        <w:t xml:space="preserve">La “guerra giusta” contro l’Iraq </w:t>
      </w:r>
    </w:p>
    <w:p w:rsidR="00B4523B" w:rsidRPr="00B4523B" w:rsidRDefault="00B4523B" w:rsidP="00B4523B">
      <w:r w:rsidRPr="00B4523B">
        <w:t>Come cambiò il giudizio sugli interventi militari, dal punto di osservazione in cui si trovava l’Italia, dal momento in cui la prospettiva della distruzione nucleare passò in secondo piano e acquistarono maggiore visibilità le guerre combattute su scenari lontani? Dopo il crollo dei regimi socialisti l’Italia non si trovò più sulla linea del fuoco</w:t>
      </w:r>
      <w:r w:rsidRPr="00B4523B">
        <w:rPr>
          <w:b/>
          <w:bCs/>
        </w:rPr>
        <w:t xml:space="preserve"> </w:t>
      </w:r>
      <w:r w:rsidRPr="00B4523B">
        <w:t>di un possibile conflitto con l’Est e questo, da una parte, ridusse il ruolo</w:t>
      </w:r>
      <w:r w:rsidRPr="00B4523B">
        <w:rPr>
          <w:b/>
          <w:bCs/>
        </w:rPr>
        <w:t xml:space="preserve"> </w:t>
      </w:r>
      <w:r w:rsidRPr="00B4523B">
        <w:t>“protettivo” esercitato dagli USA nei suoi confronti; dall’altra, le ha conferì, insieme ai partner europei, una maggiore responsabilità</w:t>
      </w:r>
      <w:r w:rsidRPr="00B4523B">
        <w:rPr>
          <w:b/>
          <w:bCs/>
        </w:rPr>
        <w:t xml:space="preserve"> </w:t>
      </w:r>
      <w:r w:rsidRPr="00B4523B">
        <w:t xml:space="preserve">nelle decisioni da assumere nella scena internazionale. La partecipazione alla Guerra del Golfo, durante la quale due piloti italiani furono abbattuti e fatti prigionieri dagli iracheni, </w:t>
      </w:r>
      <w:r w:rsidRPr="00B4523B">
        <w:lastRenderedPageBreak/>
        <w:t xml:space="preserve">fu occasione di un </w:t>
      </w:r>
      <w:r w:rsidRPr="00B4523B">
        <w:rPr>
          <w:b/>
          <w:bCs/>
        </w:rPr>
        <w:t>ampio e vivace dibattito</w:t>
      </w:r>
      <w:r w:rsidRPr="00B4523B">
        <w:t xml:space="preserve"> che divise l’opinione pubblica e coinvolse giuristi e filosofi. Tra questi vi era Norberto </w:t>
      </w:r>
      <w:r w:rsidRPr="00B4523B">
        <w:rPr>
          <w:b/>
          <w:bCs/>
        </w:rPr>
        <w:t>Bobbio</w:t>
      </w:r>
      <w:r w:rsidRPr="00B4523B">
        <w:t xml:space="preserve"> il quale, da sempre su posizioni pacifiste, riconobbe che, in quel caso, si trattava di «una </w:t>
      </w:r>
      <w:r w:rsidRPr="00B4523B">
        <w:rPr>
          <w:b/>
          <w:bCs/>
        </w:rPr>
        <w:t>guerra giusta</w:t>
      </w:r>
      <w:r w:rsidRPr="00B4523B">
        <w:t xml:space="preserve"> perché fondata su un principio fondamentale del diritto internazionale che è quello che giustifica la legittima difesa» (N. Bobbio, </w:t>
      </w:r>
      <w:r w:rsidRPr="00B4523B">
        <w:rPr>
          <w:i/>
          <w:iCs/>
        </w:rPr>
        <w:t>Una guerra giusta? Sul conflitto del Golfo</w:t>
      </w:r>
      <w:r w:rsidRPr="00B4523B">
        <w:t xml:space="preserve">, Venezia 1991, pp. 39). Bobbio precisava che una guerra, anche quando è giusta e lecita, non è per ciò stesso necessaria, ma nella foga del dibattito di quei giorni tale fondamentale distinzione passò in secondo piano e venne invece segnalata come una decisiva novità la possibilità che un intervento militare non fosse da condannare a priori, ma si potesse prendere in considerazione per il ripristino della legalità internazionale (vedi Fonte, N. Bobbio, </w:t>
      </w:r>
      <w:hyperlink r:id="rId7" w:history="1">
        <w:r w:rsidRPr="00B4523B">
          <w:rPr>
            <w:rStyle w:val="Collegamentoipertestuale"/>
            <w:i/>
            <w:iCs/>
          </w:rPr>
          <w:t>Quando una guerra è giusta?</w:t>
        </w:r>
      </w:hyperlink>
      <w:r w:rsidRPr="00B4523B">
        <w:t>).</w:t>
      </w:r>
    </w:p>
    <w:p w:rsidR="00B4523B" w:rsidRPr="00B4523B" w:rsidRDefault="00B4523B" w:rsidP="00B4523B"/>
    <w:p w:rsidR="00B4523B" w:rsidRPr="00B4523B" w:rsidRDefault="00B4523B" w:rsidP="00B4523B">
      <w:pPr>
        <w:rPr>
          <w:b/>
          <w:bCs/>
        </w:rPr>
      </w:pPr>
      <w:r w:rsidRPr="00B4523B">
        <w:rPr>
          <w:b/>
          <w:bCs/>
        </w:rPr>
        <w:t>Interventi falliti e interventi negati</w:t>
      </w:r>
    </w:p>
    <w:p w:rsidR="00B4523B" w:rsidRPr="00B4523B" w:rsidRDefault="00B4523B" w:rsidP="00B4523B">
      <w:r w:rsidRPr="00B4523B">
        <w:t xml:space="preserve">Negli anni novanta non mancarono gli spunti per tenere aperta la discussione sulla guerra. Una serie di conflitti, alcuni dei quali apertisi, per la prima volta dal 1945, anche sul </w:t>
      </w:r>
      <w:r w:rsidRPr="00B4523B">
        <w:rPr>
          <w:b/>
          <w:bCs/>
        </w:rPr>
        <w:t>teatro europeo</w:t>
      </w:r>
      <w:r w:rsidRPr="00B4523B">
        <w:t xml:space="preserve"> (quelli della ex Iugoslavia) riproposero la questione della possibilità, o della necessità, di un </w:t>
      </w:r>
      <w:r w:rsidRPr="00B4523B">
        <w:rPr>
          <w:b/>
          <w:bCs/>
        </w:rPr>
        <w:t>intervento militare</w:t>
      </w:r>
      <w:r w:rsidRPr="00B4523B">
        <w:t>. Alcuni episodi ebbero particolare rilevanza ed è utile considerare la sequenza con cui si presentarono per comprendere gli effetti contraddittori che ebbero sulle decisioni degli attori internazionali. Vediamoli rapidamente.</w:t>
      </w:r>
    </w:p>
    <w:p w:rsidR="00B4523B" w:rsidRPr="00B4523B" w:rsidRDefault="00B4523B" w:rsidP="00B4523B">
      <w:r w:rsidRPr="00B4523B">
        <w:t xml:space="preserve">Nel </w:t>
      </w:r>
      <w:r w:rsidRPr="00B4523B">
        <w:rPr>
          <w:b/>
          <w:bCs/>
        </w:rPr>
        <w:t>dicembre 1992</w:t>
      </w:r>
      <w:r w:rsidRPr="00B4523B">
        <w:t xml:space="preserve"> iniziò l’operazione </w:t>
      </w:r>
      <w:r w:rsidRPr="00B4523B">
        <w:rPr>
          <w:i/>
          <w:iCs/>
        </w:rPr>
        <w:t>Restore Hope</w:t>
      </w:r>
      <w:r w:rsidRPr="00B4523B">
        <w:t xml:space="preserve"> avviata dagli americani (presidente Clinton) su mandato dell’ONU, per mettere fine a una lacerante </w:t>
      </w:r>
      <w:r w:rsidRPr="00B4523B">
        <w:rPr>
          <w:b/>
          <w:bCs/>
        </w:rPr>
        <w:t>guerra civile</w:t>
      </w:r>
      <w:r w:rsidRPr="00B4523B">
        <w:t xml:space="preserve"> in corso in </w:t>
      </w:r>
      <w:r w:rsidRPr="00B4523B">
        <w:rPr>
          <w:b/>
          <w:bCs/>
        </w:rPr>
        <w:t>Somalia</w:t>
      </w:r>
      <w:r w:rsidRPr="00B4523B">
        <w:t>. Dopo aver mantenuto per un anno un inutile presidio militare, incapace di tenere testa ai locali “signori della guerra” e di dare manforte alla popolazione civile, le forze dell’ONU (fra cui un contingente italiano) furono sbrigativamente ritirate in seguito a un disastro militare subito dai soldati americani (battaglia di Mogadiscio).</w:t>
      </w:r>
    </w:p>
    <w:p w:rsidR="00B4523B" w:rsidRPr="00B4523B" w:rsidRDefault="00B4523B" w:rsidP="00B4523B">
      <w:r w:rsidRPr="00B4523B">
        <w:t xml:space="preserve">Durante la </w:t>
      </w:r>
      <w:r w:rsidRPr="00B4523B">
        <w:rPr>
          <w:b/>
          <w:bCs/>
        </w:rPr>
        <w:t>primavera-estate 1994</w:t>
      </w:r>
      <w:r w:rsidRPr="00B4523B">
        <w:t xml:space="preserve">, nel non lontano </w:t>
      </w:r>
      <w:r w:rsidRPr="00B4523B">
        <w:rPr>
          <w:b/>
          <w:bCs/>
        </w:rPr>
        <w:t>Ruanda</w:t>
      </w:r>
      <w:r w:rsidRPr="00B4523B">
        <w:t xml:space="preserve"> si compì un feroce </w:t>
      </w:r>
      <w:r w:rsidRPr="00B4523B">
        <w:rPr>
          <w:b/>
          <w:bCs/>
        </w:rPr>
        <w:t>genocidio</w:t>
      </w:r>
      <w:r w:rsidRPr="00B4523B">
        <w:t xml:space="preserve"> ai danni della popolazione di etnia tutsi: nonostante fosse presente nel paese una missione dell’ONU che inviava aggiornati rapporti alla sede di New York, nessun intervento venne deciso e un milione circa di persone fu massacrato in pochi mesi, sotto gli occhi inorriditi del mondo che sembrava incapace di reagire.</w:t>
      </w:r>
    </w:p>
    <w:p w:rsidR="00B4523B" w:rsidRPr="00B4523B" w:rsidRDefault="00B4523B" w:rsidP="00B4523B">
      <w:r w:rsidRPr="00B4523B">
        <w:t xml:space="preserve">Mentre le istituzioni internazionali si mostrarono incapaci di far fronte alle emergenze africane, le violenze contro i civili, la pulizia etnica e il genocidio vero e proprio divamparono nel cuore dell’Europa. Il </w:t>
      </w:r>
      <w:r w:rsidRPr="00B4523B">
        <w:rPr>
          <w:b/>
          <w:bCs/>
        </w:rPr>
        <w:t>5 aprile 1992</w:t>
      </w:r>
      <w:r w:rsidRPr="00B4523B">
        <w:t xml:space="preserve"> iniziò l’</w:t>
      </w:r>
      <w:r w:rsidRPr="00B4523B">
        <w:rPr>
          <w:b/>
          <w:bCs/>
        </w:rPr>
        <w:t xml:space="preserve">assedio di Sarajevo </w:t>
      </w:r>
      <w:r w:rsidRPr="00B4523B">
        <w:t xml:space="preserve">che si protrasse per più di tre anni provocando la distruzione della città e la morte di almeno dodicimila dei suoi abitanti. Mentre associazioni umanitarie e volontari cercarono di portare aiuto e solidarietà alle vittime dell’aggressione serbo-bosniaca, l’iniziativa dei governi rimase bloccata dalle alleanze contrapposte e dai veti incrociati. Alla fine furono gli aeroplani della NATO a liberare la città bombardando le postazioni degli assedianti (febbraio 1994). Ma questo non impedì alle truppe del generale Mladic di entrare cinque mesi dopo a </w:t>
      </w:r>
      <w:r w:rsidRPr="00B4523B">
        <w:rPr>
          <w:b/>
          <w:bCs/>
        </w:rPr>
        <w:t>Srebrenica</w:t>
      </w:r>
      <w:r w:rsidRPr="00B4523B">
        <w:t xml:space="preserve">, ufficialmente sotto la protezione dell’ONU (era presente un contingente di soldati olandesi) e di sterminarvi tutta la popolazione maschile (8.373 vittime). </w:t>
      </w:r>
    </w:p>
    <w:p w:rsidR="00B4523B" w:rsidRPr="00B4523B" w:rsidRDefault="00B4523B" w:rsidP="00B4523B">
      <w:r w:rsidRPr="00B4523B">
        <w:t>Per la seconda volta, a distanza di un anno, il mondo era spettatore, quasi in diretta televisiva, dell’uccisione sistematica di civili inermi, mossa dalla volontà dichiarata di distruggere il loro gruppo etnico. E questo non avveniva più in un paese remoto dell’Africa, ma nel cuore dell’Europa, cinquant’anni dopo la fine della Seconda guerra mondiale, i cui orrori tutti avevano giurato che non si sarebbero più dovuti ripetere.</w:t>
      </w:r>
    </w:p>
    <w:p w:rsidR="00B4523B" w:rsidRPr="00B4523B" w:rsidRDefault="00B4523B" w:rsidP="00B4523B"/>
    <w:p w:rsidR="00B4523B" w:rsidRPr="00B4523B" w:rsidRDefault="00B4523B" w:rsidP="00B4523B">
      <w:pPr>
        <w:rPr>
          <w:b/>
          <w:bCs/>
        </w:rPr>
      </w:pPr>
      <w:r w:rsidRPr="00B4523B">
        <w:rPr>
          <w:b/>
          <w:bCs/>
        </w:rPr>
        <w:t xml:space="preserve">La “guerra umanitaria” contro la Serbia </w:t>
      </w:r>
    </w:p>
    <w:p w:rsidR="00B4523B" w:rsidRPr="00B4523B" w:rsidRDefault="00B4523B" w:rsidP="00B4523B">
      <w:r w:rsidRPr="00B4523B">
        <w:t xml:space="preserve">Alla fase cruenta della guerra civile iugoslava impose uno stop la decisa iniziativa degli </w:t>
      </w:r>
      <w:r w:rsidRPr="00B4523B">
        <w:rPr>
          <w:b/>
          <w:bCs/>
        </w:rPr>
        <w:t>Stati Uniti</w:t>
      </w:r>
      <w:r w:rsidRPr="00B4523B">
        <w:t xml:space="preserve"> e del loro incaricato per gli affari europei Richard</w:t>
      </w:r>
      <w:r w:rsidRPr="00B4523B">
        <w:rPr>
          <w:b/>
          <w:bCs/>
        </w:rPr>
        <w:t xml:space="preserve"> Holbrooke</w:t>
      </w:r>
      <w:r w:rsidRPr="00B4523B">
        <w:t xml:space="preserve"> (1941-2010). Gli Stati Uniti costrinsero i presidenti di Serbia, Croazia e Bosnia a firmare gli </w:t>
      </w:r>
      <w:r w:rsidRPr="00B4523B">
        <w:rPr>
          <w:b/>
          <w:bCs/>
        </w:rPr>
        <w:t>Accordi di Dayton</w:t>
      </w:r>
      <w:r w:rsidRPr="00B4523B">
        <w:t xml:space="preserve"> (novembre 1995) che prevedevano un complicato equilibrio fra le autonomie riconosciute alle diverse componenti nazionali dentro una cornice formalmente unitaria, il tutto garantito da una massiccia </w:t>
      </w:r>
      <w:r w:rsidRPr="00B4523B">
        <w:rPr>
          <w:b/>
          <w:bCs/>
        </w:rPr>
        <w:t>forza di interposizione</w:t>
      </w:r>
      <w:r w:rsidRPr="00B4523B">
        <w:t xml:space="preserve"> (di </w:t>
      </w:r>
      <w:r w:rsidRPr="00B4523B">
        <w:rPr>
          <w:i/>
          <w:iCs/>
        </w:rPr>
        <w:t>peacekeeping</w:t>
      </w:r>
      <w:r w:rsidRPr="00B4523B">
        <w:t xml:space="preserve">, come si incominciò a dire) fornita dalla NATO, con una consistente partecipazione italiana (IFOR). Non era una pace consolidata, ma cessavano almeno i bombardamenti, i massacri, le deportazioni. Non dappertutto, però. Nella provincia del </w:t>
      </w:r>
      <w:r w:rsidRPr="00B4523B">
        <w:rPr>
          <w:b/>
          <w:bCs/>
        </w:rPr>
        <w:t>Kosovo</w:t>
      </w:r>
      <w:r w:rsidRPr="00B4523B">
        <w:t>, dove la maggioranza albanese chiedeva da tempo di rendersi autonoma dalla Serbia, la tensione riprese a salire nel 1997-98 e ricominciarono le violenze contro la popolazione civile (</w:t>
      </w:r>
      <w:r w:rsidRPr="00B4523B">
        <w:rPr>
          <w:i/>
          <w:iCs/>
        </w:rPr>
        <w:t>PerlaStoria Mail</w:t>
      </w:r>
      <w:r w:rsidRPr="00B4523B">
        <w:t xml:space="preserve">, Numero10, marzo 2008). </w:t>
      </w:r>
    </w:p>
    <w:p w:rsidR="00B4523B" w:rsidRPr="00B4523B" w:rsidRDefault="00B4523B" w:rsidP="00B4523B">
      <w:r w:rsidRPr="00B4523B">
        <w:t xml:space="preserve">Per quanto la situazione fosse resa confusa dalla presenza di un autoproclamatosi </w:t>
      </w:r>
      <w:r w:rsidRPr="00B4523B">
        <w:rPr>
          <w:b/>
          <w:bCs/>
        </w:rPr>
        <w:t>Esercito di Liberazione del Kosovo</w:t>
      </w:r>
      <w:r w:rsidRPr="00B4523B">
        <w:t xml:space="preserve"> (UCK è l’acronimo del nome albanese) che agiva con metodi dichiaratamente terroristici, le rappresaglie delle forze armate serbe apparivano tanto più intollerabili in quanto ricalcavano le stesse forme di “pulizia etnica” che erano state messe in campo pochi anni prima in Bosnia. Per gli USA e per molti loro alleati europei era l’occasione per fare definitivamente i conti con la Serbia ultranazionalista di Milosevic che rappresentava un forte elemento di instabilità nella regione. L’iniziativa militare venne assunta ancora una volta dalla NATO che attaccò la Repubblica di Serbia il 24 marzo 1999. Il presidente ceco Václav </w:t>
      </w:r>
      <w:r w:rsidRPr="00B4523B">
        <w:rPr>
          <w:b/>
          <w:bCs/>
        </w:rPr>
        <w:t>Havel</w:t>
      </w:r>
      <w:r w:rsidRPr="00B4523B">
        <w:t xml:space="preserve"> (1936-2011) parlò di una guerra che non aveva «interessi materiali ma ragioni puramente umanitarie» (Le Monde, 29 aprile 1999) e inaugurò così l’espressione “</w:t>
      </w:r>
      <w:r w:rsidRPr="00B4523B">
        <w:rPr>
          <w:b/>
          <w:bCs/>
        </w:rPr>
        <w:t>guerra umanitaria</w:t>
      </w:r>
      <w:r w:rsidRPr="00B4523B">
        <w:t xml:space="preserve">” per intendere un’azione militare motivata dalla volontà di impedire gravi violazioni dei diritti umani. Quella definizione, così evidentemente contraddittoria (un ossimoro, si disse subito), segnalava la volontà di superare le obiezioni contro l’uso delle armi, che nulla ha in sé di umanitario, rivendicandone la necessità per impedire un danno maggiore. Se non che quella “guerra umanitaria” non poteva presentarsi anche come una “guerra giusta”, cioè conforme allo </w:t>
      </w:r>
      <w:r w:rsidRPr="00B4523B">
        <w:rPr>
          <w:i/>
          <w:iCs/>
        </w:rPr>
        <w:t>ius</w:t>
      </w:r>
      <w:r w:rsidRPr="00B4523B">
        <w:t xml:space="preserve">, perché le mancava il riconoscimento del principale organo di legittimazione del diritto internazionale, l’ONU (vedi Fonte, Aa.Vv, </w:t>
      </w:r>
      <w:hyperlink r:id="rId8" w:history="1">
        <w:r w:rsidRPr="00B4523B">
          <w:rPr>
            <w:rStyle w:val="Collegamentoipertestuale"/>
            <w:i/>
            <w:iCs/>
          </w:rPr>
          <w:t>Il dibattito sulla guerra del Kosovo</w:t>
        </w:r>
      </w:hyperlink>
      <w:r w:rsidRPr="00B4523B">
        <w:t>).</w:t>
      </w:r>
    </w:p>
    <w:p w:rsidR="00B4523B" w:rsidRPr="00B4523B" w:rsidRDefault="00B4523B" w:rsidP="00B4523B"/>
    <w:p w:rsidR="00B4523B" w:rsidRPr="00B4523B" w:rsidRDefault="00B4523B" w:rsidP="00B4523B">
      <w:pPr>
        <w:rPr>
          <w:b/>
          <w:bCs/>
        </w:rPr>
      </w:pPr>
      <w:r w:rsidRPr="00B4523B">
        <w:rPr>
          <w:b/>
          <w:bCs/>
        </w:rPr>
        <w:t>«La Siria non è la Libia…»</w:t>
      </w:r>
    </w:p>
    <w:p w:rsidR="00B4523B" w:rsidRPr="00B4523B" w:rsidRDefault="00B4523B" w:rsidP="00B4523B">
      <w:r w:rsidRPr="00B4523B">
        <w:t xml:space="preserve">Quanto accade oggi in Siria presenta caratteristiche simili a quelle che si potevano osservare in </w:t>
      </w:r>
      <w:r w:rsidRPr="00B4523B">
        <w:rPr>
          <w:b/>
          <w:bCs/>
        </w:rPr>
        <w:t>Libia</w:t>
      </w:r>
      <w:r w:rsidRPr="00B4523B">
        <w:t xml:space="preserve"> lo scorso anno: da una parte, una rivolta che, apparentemente, mostra di avere un forte appoggio popolare ma che è politicamente disomogenea, con forti divisioni interne, scarsa capacità militare e gravi rischi di infiltrazione </w:t>
      </w:r>
      <w:r w:rsidRPr="00B4523B">
        <w:rPr>
          <w:i/>
          <w:iCs/>
        </w:rPr>
        <w:t>jihadista</w:t>
      </w:r>
      <w:r w:rsidRPr="00B4523B">
        <w:t xml:space="preserve">; dall’altra, un regime autoritario, dotato di potenti mezzi repressivi che provocano un alto numero di vittime fra la popolazione civile. Ma, in questo caso, la possibilità di un intervento militare è stata presto scartata. «La Siria non è la Libia», è stato ripetuto più volte in questi mesi: da esponenti dell’Unione Europea (AGI, 8 febbraio), da Barack Obama (Adnkronos, 6 marzo), dallo stesso presidente del Consiglio Nazionale Siriano (“Il Manifesto”, 25 marzo 2012). </w:t>
      </w:r>
    </w:p>
    <w:p w:rsidR="00B4523B" w:rsidRPr="00B4523B" w:rsidRDefault="00B4523B" w:rsidP="00B4523B">
      <w:r w:rsidRPr="00B4523B">
        <w:t xml:space="preserve">La prima considerazione che viene da fare di fronte a questa, apparentemente ovvia, constatazione è che in Siria non si può fare quello che si è fatto in Libia proprio perché è già stato fatto lì. In mancanza di regole definite, l’applicazione della “guerra umanitaria” sembra infatti procedere empiricamente per “prove ed errori”: una replica della </w:t>
      </w:r>
      <w:r w:rsidRPr="00B4523B">
        <w:rPr>
          <w:b/>
          <w:bCs/>
        </w:rPr>
        <w:t>risoluzione 1973</w:t>
      </w:r>
      <w:r w:rsidRPr="00B4523B">
        <w:t>, con la quale il 19 marzo dell’anno scorso presero il via gli attacchi aerei della NATO contro le truppe di Gheddafi, è stata innanzi tutto scoraggiata dall’esito deludente di quella iniziativa che, pur abbattendo un regime tirannico e oppressivo, ha contribuito a creare un’</w:t>
      </w:r>
      <w:r w:rsidRPr="00B4523B">
        <w:rPr>
          <w:b/>
          <w:bCs/>
        </w:rPr>
        <w:t xml:space="preserve">area di instabilità </w:t>
      </w:r>
      <w:r w:rsidRPr="00B4523B">
        <w:t xml:space="preserve">nella quale le </w:t>
      </w:r>
      <w:r w:rsidRPr="00B4523B">
        <w:rPr>
          <w:b/>
          <w:bCs/>
        </w:rPr>
        <w:t>violazioni dei diritti umani</w:t>
      </w:r>
      <w:r w:rsidRPr="00B4523B">
        <w:t xml:space="preserve"> non sembrano meno gravi ed estese di prima. </w:t>
      </w:r>
    </w:p>
    <w:p w:rsidR="00B4523B" w:rsidRPr="00B4523B" w:rsidRDefault="00B4523B" w:rsidP="00B4523B">
      <w:r w:rsidRPr="00B4523B">
        <w:t xml:space="preserve">La </w:t>
      </w:r>
      <w:r w:rsidRPr="00B4523B">
        <w:rPr>
          <w:b/>
          <w:bCs/>
        </w:rPr>
        <w:t>mancata mozione di condanna</w:t>
      </w:r>
      <w:r w:rsidRPr="00B4523B">
        <w:t xml:space="preserve"> da parte dell’ONU lo scorso 4 febbraio è stata più un gioco delle parti che l’esito di un vero scontro diplomatico: Russia e Cina si sono assunte la responsabilità del veto e gli altri membri del Consiglio di sicurezza hanno potuto continuare a esprimere la loro indignazione per la violenza repressiva del governo siriano senza doversi fare carico di iniziative che nessuno voleva prendere.</w:t>
      </w:r>
    </w:p>
    <w:p w:rsidR="00B4523B" w:rsidRPr="00B4523B" w:rsidRDefault="00B4523B" w:rsidP="00B4523B"/>
    <w:p w:rsidR="00B4523B" w:rsidRPr="00B4523B" w:rsidRDefault="00B4523B" w:rsidP="00B4523B">
      <w:pPr>
        <w:rPr>
          <w:b/>
          <w:bCs/>
        </w:rPr>
      </w:pPr>
      <w:r w:rsidRPr="00B4523B">
        <w:rPr>
          <w:b/>
          <w:bCs/>
        </w:rPr>
        <w:t xml:space="preserve">Un cambio di regime che fa paura a molti </w:t>
      </w:r>
    </w:p>
    <w:p w:rsidR="00B4523B" w:rsidRPr="00B4523B" w:rsidRDefault="00B4523B" w:rsidP="00B4523B">
      <w:r w:rsidRPr="00B4523B">
        <w:t xml:space="preserve">In effetti, «la Siria non è la Libia» anche perché il suo ruolo nel complicato sistema degli equilibri mediorientali è assai più decisivo. Al di là delle generali dichiarazioni di condanna dei suoi sistemi repressivi, molti sembrano preoccupati della possibile caduta di </w:t>
      </w:r>
      <w:r w:rsidRPr="00B4523B">
        <w:rPr>
          <w:b/>
          <w:bCs/>
        </w:rPr>
        <w:t>Bashar al-Assad</w:t>
      </w:r>
      <w:r w:rsidRPr="00B4523B">
        <w:t xml:space="preserve">. La </w:t>
      </w:r>
      <w:r w:rsidRPr="00B4523B">
        <w:rPr>
          <w:b/>
          <w:bCs/>
        </w:rPr>
        <w:t>Russia</w:t>
      </w:r>
      <w:r w:rsidRPr="00B4523B">
        <w:t xml:space="preserve">, che rischierebbe di perdere l’ultimo interlocutore che le è rimasto nella regione (il porto siriano di Tartous è l’unica base a cui possano appoggiarsi le navi russe nel Mediterraneo) e un partner economico di tutto rispetto (in particolare nella vendita di armi). La </w:t>
      </w:r>
      <w:r w:rsidRPr="00B4523B">
        <w:rPr>
          <w:b/>
          <w:bCs/>
        </w:rPr>
        <w:t>Cina</w:t>
      </w:r>
      <w:r w:rsidRPr="00B4523B">
        <w:t>, tradizionalmente contraria a ogni ingerenza esterna nelle situazioni di crisi (un intervento umanitario potrebbe essere rivendicato anche dal Tibet), non vuole agevolare cambiamenti politici che potrebbero favorire gli interessi americani e danneggiare i propri (la Cina è il terzo paese importatore della Siria). L’</w:t>
      </w:r>
      <w:r w:rsidRPr="00B4523B">
        <w:rPr>
          <w:b/>
          <w:bCs/>
        </w:rPr>
        <w:t>Iran</w:t>
      </w:r>
      <w:r w:rsidRPr="00B4523B">
        <w:t xml:space="preserve">, che dalla nascita della repubblica islamica ha un asse privilegiato con Damasco (gli alawiti, di cui fa parte la dinastia degli Assad, costituiscono la minoranza sciita del paese che conta circa il 10% della popolazione), non vuole perdere un prezioso </w:t>
      </w:r>
      <w:r w:rsidRPr="00B4523B">
        <w:rPr>
          <w:b/>
          <w:bCs/>
        </w:rPr>
        <w:t>partner economico e politico</w:t>
      </w:r>
      <w:r w:rsidRPr="00B4523B">
        <w:t xml:space="preserve"> che rappresenta, fra l’altro, il ponte attraverso il quale da Tehran si raggiunge la Beirut degli </w:t>
      </w:r>
      <w:r w:rsidRPr="00B4523B">
        <w:rPr>
          <w:b/>
          <w:bCs/>
        </w:rPr>
        <w:t>Hizballah</w:t>
      </w:r>
      <w:r w:rsidRPr="00B4523B">
        <w:t xml:space="preserve">. </w:t>
      </w:r>
    </w:p>
    <w:p w:rsidR="00B4523B" w:rsidRPr="00B4523B" w:rsidRDefault="00B4523B" w:rsidP="00B4523B">
      <w:r w:rsidRPr="00B4523B">
        <w:t xml:space="preserve">In contrasto con il suo arcinemico iraniano ci si aspetterebbe che almeno </w:t>
      </w:r>
      <w:r w:rsidRPr="00B4523B">
        <w:rPr>
          <w:b/>
          <w:bCs/>
        </w:rPr>
        <w:t>Israele</w:t>
      </w:r>
      <w:r w:rsidRPr="00B4523B">
        <w:t xml:space="preserve"> facesse il tifo per un cambio di regime in Siria, ma anche questo non è così certo, dal momento che solo recentemente il ministro della difesa Barak ha riconosciuto che la caduta di Assad sarebbe un fatto positivo perché indebolirebbe l’Iran (Associated Press, 19 aprile) mentre a febbraio un anonimo membro del governo israeliano (forse lui stesso) aveva riferito al Washington Post: «Noi conosciamo Assad. Abbiamo conosciuto suo padre. Ovviamente, vorremmo una Siria democratica come nostro vicino di casa. Ma penso che accadrà? No». </w:t>
      </w:r>
    </w:p>
    <w:p w:rsidR="00B4523B" w:rsidRPr="00B4523B" w:rsidRDefault="00B4523B" w:rsidP="00B4523B">
      <w:r w:rsidRPr="00B4523B">
        <w:t xml:space="preserve">Dietro quelle parole si poteva leggere la preoccupazione che l’eventuale vuoto di potere in Siria venisse occupato da formazioni radicali, in particolare da quei </w:t>
      </w:r>
      <w:r w:rsidRPr="00B4523B">
        <w:rPr>
          <w:b/>
          <w:bCs/>
        </w:rPr>
        <w:t>Fratelli Musulmani</w:t>
      </w:r>
      <w:r w:rsidRPr="00B4523B">
        <w:t xml:space="preserve"> che, in rappresentanza della maggioranza sunnita, già nel 1982 avevano lanciato una vasta rivolta contro il governo allora guidato dal padre di Bashar, </w:t>
      </w:r>
      <w:r w:rsidRPr="00B4523B">
        <w:rPr>
          <w:b/>
          <w:bCs/>
        </w:rPr>
        <w:t>Hafez</w:t>
      </w:r>
      <w:r w:rsidRPr="00B4523B">
        <w:t xml:space="preserve">. Questi rispose con i carri armati e alla fine, nella sola città di </w:t>
      </w:r>
      <w:r w:rsidRPr="00B4523B">
        <w:rPr>
          <w:b/>
          <w:bCs/>
        </w:rPr>
        <w:t>Hamah</w:t>
      </w:r>
      <w:r w:rsidRPr="00B4523B">
        <w:t xml:space="preserve">, i caduti fra i ribelli furono più di 20 mila. E non si può dire che la notizia abbia suscitato una vasta indignazione internazionale: stampa e TV ne diedero poco risalto (le fonti ufficiali siriane parlarono allora di poche centinaia di vittime) mentre i governi occidentali registrarono con una certa soddisfazione che il regime “laico” di Damasco aveva sventato una pericolosa “minaccia islamista”. Trent’anni dopo, quella minaccia continua a condizionare i giudizi che vengono dati sulla ribellione di questi giorni e anche fra la stessa popolazione siriana, chi si sentiva relativamente protetto sotto il governo degli Assad, per esempio le </w:t>
      </w:r>
      <w:r w:rsidRPr="00B4523B">
        <w:rPr>
          <w:b/>
          <w:bCs/>
        </w:rPr>
        <w:t>minoranze</w:t>
      </w:r>
      <w:r w:rsidRPr="00B4523B">
        <w:t xml:space="preserve"> cristiana (10%) e drusa (3%), teme che un cambio di regime produca un forte peggioramento delle proprie condizioni.</w:t>
      </w:r>
    </w:p>
    <w:p w:rsidR="00B4523B" w:rsidRPr="00B4523B" w:rsidRDefault="00B4523B" w:rsidP="00B4523B"/>
    <w:p w:rsidR="00B4523B" w:rsidRPr="00B4523B" w:rsidRDefault="00B4523B" w:rsidP="00B4523B">
      <w:pPr>
        <w:rPr>
          <w:b/>
          <w:bCs/>
        </w:rPr>
      </w:pPr>
      <w:r w:rsidRPr="00B4523B">
        <w:rPr>
          <w:b/>
          <w:bCs/>
        </w:rPr>
        <w:t xml:space="preserve">Bombardare l’Iran? </w:t>
      </w:r>
    </w:p>
    <w:p w:rsidR="00B4523B" w:rsidRPr="00B4523B" w:rsidRDefault="00B4523B" w:rsidP="00B4523B">
      <w:r w:rsidRPr="00B4523B">
        <w:t xml:space="preserve">L’altro caso per il quale viene evocata la possibilità di un intervento militare è quello, ormai annoso, del </w:t>
      </w:r>
      <w:r w:rsidRPr="00B4523B">
        <w:rPr>
          <w:b/>
          <w:bCs/>
        </w:rPr>
        <w:t>nucleare iraniano</w:t>
      </w:r>
      <w:r w:rsidRPr="00B4523B">
        <w:t xml:space="preserve">. L’Iran, che aderisce al </w:t>
      </w:r>
      <w:r w:rsidRPr="00B4523B">
        <w:rPr>
          <w:b/>
          <w:bCs/>
        </w:rPr>
        <w:t>Trattato di non proliferazione nucleare</w:t>
      </w:r>
      <w:r w:rsidRPr="00B4523B">
        <w:t xml:space="preserve"> (Tnpn), rivendica il suo diritto di dotarsi dei mezzi tecnici per l’</w:t>
      </w:r>
      <w:r w:rsidRPr="00B4523B">
        <w:rPr>
          <w:b/>
          <w:bCs/>
        </w:rPr>
        <w:t>uso pacifico dell’energia atomica</w:t>
      </w:r>
      <w:r w:rsidRPr="00B4523B">
        <w:t>. A prescindere dalle obiezioni di carattere ambientalistico, non sembrerebbe ragionevole opporsi a un programma di questo genere. Se non che i dirigenti di questo paese sono considerati inaffidabili e anche gli ispettori dell’</w:t>
      </w:r>
      <w:r w:rsidRPr="00B4523B">
        <w:rPr>
          <w:b/>
          <w:bCs/>
        </w:rPr>
        <w:t>Agenzia Internazionale per l’Energia Atomica</w:t>
      </w:r>
      <w:r w:rsidRPr="00B4523B">
        <w:t xml:space="preserve"> (IAEA), che sono formalmente liberi di attuare dei controlli, non sono in grado di garantire che il programma avviato abbia scopi solamente pacifici e che non vi siano attività nucleari non dichiarate (</w:t>
      </w:r>
      <w:r w:rsidRPr="00B4523B">
        <w:rPr>
          <w:i/>
          <w:iCs/>
        </w:rPr>
        <w:t>PerlaStoria Mail</w:t>
      </w:r>
      <w:r w:rsidRPr="00B4523B">
        <w:t xml:space="preserve">, Numero 25, ottobre 2009). L’ambiguità potrebbe essere superata con una maggiore trasparenza da parte iraniana, ma assistiamo a orgogliose rivendicazioni di sovranità e di rifiuto di ogni ingerenza fatte a beneficio dell’opinione pubblica interna, che si spera così di tenere sotto controllo. </w:t>
      </w:r>
    </w:p>
    <w:p w:rsidR="00B4523B" w:rsidRPr="00B4523B" w:rsidRDefault="00B4523B" w:rsidP="00B4523B">
      <w:r w:rsidRPr="00B4523B">
        <w:t xml:space="preserve">Ad aggravare la situazione ci sono poi le infuocate dichiarazioni del presidente iraniano </w:t>
      </w:r>
      <w:r w:rsidRPr="00B4523B">
        <w:rPr>
          <w:b/>
          <w:bCs/>
        </w:rPr>
        <w:t>Ahmadinejad</w:t>
      </w:r>
      <w:r w:rsidRPr="00B4523B">
        <w:t xml:space="preserve"> che non perde occasione di attaccare l’America e i suoi alleati e, in particolare, Israele che egli vorrebbe «cancellare dalle carte geografiche». Simili minacce di annientamento suscitano particolari inquietudini quando sono fatte da chi è sospettato di voler fabbricare la bomba atomica. Si arriva così al paradosso che a insistere sulla necessità di mettere fine al programma nucleare iraniano, anche con un attacco militare, sia il governo di un paese, </w:t>
      </w:r>
      <w:r w:rsidRPr="00B4523B">
        <w:rPr>
          <w:b/>
          <w:bCs/>
        </w:rPr>
        <w:t>Israele</w:t>
      </w:r>
      <w:r w:rsidRPr="00B4523B">
        <w:t xml:space="preserve">, che non ha aderito al Tnpn e che è sicuramente in possesso di </w:t>
      </w:r>
      <w:r w:rsidRPr="00B4523B">
        <w:rPr>
          <w:b/>
          <w:bCs/>
        </w:rPr>
        <w:t>alcune centinaia di testate atomiche</w:t>
      </w:r>
      <w:r w:rsidRPr="00B4523B">
        <w:t xml:space="preserve"> (e dei mezzi per lanciarle), per quanto ufficialmente non lo ammetta né lo neghi. D’altra parte, sarebbe davvero drammatico lo scenario che si aprirebbe in seguito a un attacco israeliano su obiettivi posti sul territorio dell’Iran e all’inevitabile risposta</w:t>
      </w:r>
      <w:r w:rsidRPr="00B4523B">
        <w:rPr>
          <w:b/>
          <w:bCs/>
        </w:rPr>
        <w:t xml:space="preserve"> </w:t>
      </w:r>
      <w:r w:rsidRPr="00B4523B">
        <w:t xml:space="preserve">che verrebbe da questo paese e dai suoi alleati (Hizballah e Hamas, fra gli altri). Fortunatamente, dietro alle retoriche, simmetricamente violente, degli attuali governi di Teheran e Gerusalemme, continua a operare una intensa attività politica e diplomatica, fortemente sostenuta dalla </w:t>
      </w:r>
      <w:r w:rsidRPr="00B4523B">
        <w:rPr>
          <w:b/>
          <w:bCs/>
        </w:rPr>
        <w:t>presidenza degli Stati Uniti</w:t>
      </w:r>
      <w:r w:rsidRPr="00B4523B">
        <w:t xml:space="preserve">. </w:t>
      </w:r>
    </w:p>
    <w:p w:rsidR="00B4523B" w:rsidRPr="00B4523B" w:rsidRDefault="00B4523B" w:rsidP="00B4523B">
      <w:r w:rsidRPr="00B4523B">
        <w:t xml:space="preserve">L’Unione Sovietica della guerra fredda non appariva meno pericolosa dell’Iran di oggi, né le dichiarazioni dei suoi capi suonavano meno minacciose. Anche nei suoi confronti è stata spesso fatta valere la minaccia militare, ma la strategia che alla fine è risultata vincente è stata quella del </w:t>
      </w:r>
      <w:r w:rsidRPr="00B4523B">
        <w:rPr>
          <w:b/>
          <w:bCs/>
        </w:rPr>
        <w:t>contenimento</w:t>
      </w:r>
      <w:r w:rsidRPr="00B4523B">
        <w:t xml:space="preserve"> teorizzata da </w:t>
      </w:r>
      <w:r w:rsidRPr="00B4523B">
        <w:rPr>
          <w:b/>
          <w:bCs/>
        </w:rPr>
        <w:t>George F. Kennan</w:t>
      </w:r>
      <w:r w:rsidRPr="00B4523B">
        <w:t xml:space="preserve"> già negli anni quaranta. È il caso di sperare che lo stesso si ripeta anche oggi (vedi Articolo, F. Zakaria, </w:t>
      </w:r>
      <w:hyperlink r:id="rId9" w:history="1">
        <w:r w:rsidRPr="00B4523B">
          <w:rPr>
            <w:rStyle w:val="Collegamentoipertestuale"/>
            <w:i/>
            <w:iCs/>
          </w:rPr>
          <w:t>Anche con l’Iran si può vincere la guerra fredda</w:t>
        </w:r>
      </w:hyperlink>
      <w:r w:rsidRPr="00B4523B">
        <w:t>).</w:t>
      </w:r>
    </w:p>
    <w:p w:rsidR="00B4523B" w:rsidRDefault="00B4523B" w:rsidP="00B4523B"/>
    <w:p w:rsidR="00B4523B" w:rsidRDefault="00B4523B" w:rsidP="00B4523B"/>
    <w:p w:rsidR="00B4523B" w:rsidRDefault="00B4523B" w:rsidP="00B4523B"/>
    <w:p w:rsidR="00B4523B" w:rsidRPr="00B4523B" w:rsidRDefault="00B4523B" w:rsidP="00B4523B">
      <w:pPr>
        <w:rPr>
          <w:rStyle w:val="Collegamentoipertestuale"/>
          <w:b/>
          <w:bCs/>
        </w:rPr>
      </w:pPr>
      <w:r w:rsidRPr="00B4523B">
        <w:rPr>
          <w:b/>
          <w:bCs/>
        </w:rPr>
        <w:t xml:space="preserve">Schede Storia in corso </w:t>
      </w:r>
      <w:r w:rsidRPr="00B4523B">
        <w:rPr>
          <w:b/>
          <w:bCs/>
        </w:rPr>
        <w:br/>
        <w:t xml:space="preserve">su </w:t>
      </w:r>
      <w:r w:rsidRPr="00B4523B">
        <w:rPr>
          <w:b/>
          <w:bCs/>
          <w:u w:val="thick"/>
        </w:rPr>
        <w:fldChar w:fldCharType="begin"/>
      </w:r>
      <w:r w:rsidRPr="00B4523B">
        <w:rPr>
          <w:b/>
          <w:bCs/>
          <w:u w:val="thick"/>
        </w:rPr>
        <w:instrText>HYPERLINK  "http://www.brunomondadoristoria.it"</w:instrText>
      </w:r>
      <w:r w:rsidRPr="00B4523B">
        <w:rPr>
          <w:b/>
          <w:bCs/>
          <w:u w:val="thick"/>
        </w:rPr>
      </w:r>
      <w:r w:rsidRPr="00B4523B">
        <w:rPr>
          <w:b/>
          <w:bCs/>
          <w:u w:val="thick"/>
        </w:rPr>
        <w:fldChar w:fldCharType="separate"/>
      </w:r>
      <w:r w:rsidRPr="00B4523B">
        <w:rPr>
          <w:rStyle w:val="Collegamentoipertestuale"/>
          <w:b/>
          <w:bCs/>
        </w:rPr>
        <w:t>www.brunomondadoristoria.it</w:t>
      </w:r>
    </w:p>
    <w:p w:rsidR="00B4523B" w:rsidRDefault="00B4523B" w:rsidP="00B4523B">
      <w:r w:rsidRPr="00B4523B">
        <w:fldChar w:fldCharType="end"/>
      </w:r>
    </w:p>
    <w:p w:rsidR="00B4523B" w:rsidRPr="00B4523B" w:rsidRDefault="00B4523B" w:rsidP="00B4523B">
      <w:r w:rsidRPr="00B4523B">
        <w:rPr>
          <w:b/>
          <w:bCs/>
        </w:rPr>
        <w:t xml:space="preserve">L’incerto destino della Libia </w:t>
      </w:r>
      <w:r w:rsidRPr="00B4523B">
        <w:t>(aprile-</w:t>
      </w:r>
      <w:r>
        <w:t>m</w:t>
      </w:r>
      <w:bookmarkStart w:id="0" w:name="_GoBack"/>
      <w:bookmarkEnd w:id="0"/>
      <w:r w:rsidRPr="00B4523B">
        <w:t>aggio 2011)</w:t>
      </w:r>
    </w:p>
    <w:p w:rsidR="00B4523B" w:rsidRPr="00B4523B" w:rsidRDefault="00B4523B" w:rsidP="00B4523B">
      <w:r w:rsidRPr="00B4523B">
        <w:rPr>
          <w:b/>
          <w:bCs/>
        </w:rPr>
        <w:t xml:space="preserve">Il posto dell'egitto </w:t>
      </w:r>
      <w:r w:rsidRPr="00B4523B">
        <w:t>(febbraio 2011)</w:t>
      </w:r>
    </w:p>
    <w:p w:rsidR="00B4523B" w:rsidRPr="00B4523B" w:rsidRDefault="00B4523B" w:rsidP="00B4523B">
      <w:r w:rsidRPr="00B4523B">
        <w:rPr>
          <w:b/>
          <w:bCs/>
        </w:rPr>
        <w:t xml:space="preserve">L’Iran, potenza regionale </w:t>
      </w:r>
      <w:r w:rsidRPr="00B4523B">
        <w:t>(ottobre 2009)</w:t>
      </w:r>
    </w:p>
    <w:p w:rsidR="00B4523B" w:rsidRPr="00B4523B" w:rsidRDefault="00B4523B" w:rsidP="00B4523B">
      <w:r w:rsidRPr="00B4523B">
        <w:rPr>
          <w:b/>
          <w:bCs/>
        </w:rPr>
        <w:t xml:space="preserve">Guerre e governi in Medio Oriente </w:t>
      </w:r>
      <w:r w:rsidRPr="00B4523B">
        <w:t>(marzo 2009)</w:t>
      </w:r>
    </w:p>
    <w:p w:rsidR="00B4523B" w:rsidRPr="00B4523B" w:rsidRDefault="00B4523B" w:rsidP="00B4523B">
      <w:pPr>
        <w:rPr>
          <w:b/>
          <w:bCs/>
        </w:rPr>
      </w:pPr>
      <w:r w:rsidRPr="00B4523B">
        <w:rPr>
          <w:b/>
          <w:bCs/>
        </w:rPr>
        <w:t xml:space="preserve">Sessant’anni dal 1948: l’anniversario di Israele </w:t>
      </w:r>
      <w:r w:rsidRPr="00B4523B">
        <w:rPr>
          <w:b/>
          <w:bCs/>
        </w:rPr>
        <w:br/>
      </w:r>
      <w:r w:rsidRPr="00B4523B">
        <w:t>(maggio 2008)</w:t>
      </w:r>
      <w:r w:rsidRPr="00B4523B">
        <w:rPr>
          <w:b/>
          <w:bCs/>
        </w:rPr>
        <w:t xml:space="preserve"> </w:t>
      </w:r>
    </w:p>
    <w:p w:rsidR="00B4523B" w:rsidRPr="00B4523B" w:rsidRDefault="00B4523B" w:rsidP="00B4523B">
      <w:r w:rsidRPr="00B4523B">
        <w:rPr>
          <w:b/>
          <w:bCs/>
        </w:rPr>
        <w:t>L’Iran nel contesto internazionale</w:t>
      </w:r>
      <w:r w:rsidRPr="00B4523B">
        <w:t xml:space="preserve"> (marzo 2007)</w:t>
      </w:r>
    </w:p>
    <w:p w:rsidR="00B4523B" w:rsidRPr="00B4523B" w:rsidRDefault="00B4523B" w:rsidP="00B4523B"/>
    <w:sectPr w:rsidR="00B4523B" w:rsidRPr="00B4523B" w:rsidSect="00BF58D0">
      <w:footerReference w:type="even" r:id="rId10"/>
      <w:footerReference w:type="default" r:id="rId11"/>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23B" w:rsidRDefault="00B4523B" w:rsidP="00B4523B">
      <w:r>
        <w:separator/>
      </w:r>
    </w:p>
  </w:endnote>
  <w:endnote w:type="continuationSeparator" w:id="0">
    <w:p w:rsidR="00B4523B" w:rsidRDefault="00B4523B" w:rsidP="00B4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3B" w:rsidRDefault="00B4523B"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4523B" w:rsidRDefault="00B4523B" w:rsidP="00B4523B">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3B" w:rsidRDefault="00B4523B"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B4523B" w:rsidRDefault="00B4523B" w:rsidP="00B4523B">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23B" w:rsidRDefault="00B4523B" w:rsidP="00B4523B">
      <w:r>
        <w:separator/>
      </w:r>
    </w:p>
  </w:footnote>
  <w:footnote w:type="continuationSeparator" w:id="0">
    <w:p w:rsidR="00B4523B" w:rsidRDefault="00B4523B" w:rsidP="00B452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23B"/>
    <w:rsid w:val="00A67858"/>
    <w:rsid w:val="00B4523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4523B"/>
    <w:rPr>
      <w:color w:val="0000FF" w:themeColor="hyperlink"/>
      <w:u w:val="single"/>
    </w:rPr>
  </w:style>
  <w:style w:type="paragraph" w:styleId="Pidipagina">
    <w:name w:val="footer"/>
    <w:basedOn w:val="Normale"/>
    <w:link w:val="PidipaginaCarattere"/>
    <w:uiPriority w:val="99"/>
    <w:unhideWhenUsed/>
    <w:rsid w:val="00B4523B"/>
    <w:pPr>
      <w:tabs>
        <w:tab w:val="center" w:pos="4819"/>
        <w:tab w:val="right" w:pos="9638"/>
      </w:tabs>
    </w:pPr>
  </w:style>
  <w:style w:type="character" w:customStyle="1" w:styleId="PidipaginaCarattere">
    <w:name w:val="Piè di pagina Carattere"/>
    <w:basedOn w:val="Caratterepredefinitoparagrafo"/>
    <w:link w:val="Pidipagina"/>
    <w:uiPriority w:val="99"/>
    <w:rsid w:val="00B4523B"/>
  </w:style>
  <w:style w:type="character" w:styleId="Numeropagina">
    <w:name w:val="page number"/>
    <w:basedOn w:val="Caratterepredefinitoparagrafo"/>
    <w:uiPriority w:val="99"/>
    <w:semiHidden/>
    <w:unhideWhenUsed/>
    <w:rsid w:val="00B4523B"/>
  </w:style>
  <w:style w:type="character" w:styleId="Collegamentovisitato">
    <w:name w:val="FollowedHyperlink"/>
    <w:basedOn w:val="Caratterepredefinitoparagrafo"/>
    <w:uiPriority w:val="99"/>
    <w:semiHidden/>
    <w:unhideWhenUsed/>
    <w:rsid w:val="00B4523B"/>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4523B"/>
    <w:rPr>
      <w:color w:val="0000FF" w:themeColor="hyperlink"/>
      <w:u w:val="single"/>
    </w:rPr>
  </w:style>
  <w:style w:type="paragraph" w:styleId="Pidipagina">
    <w:name w:val="footer"/>
    <w:basedOn w:val="Normale"/>
    <w:link w:val="PidipaginaCarattere"/>
    <w:uiPriority w:val="99"/>
    <w:unhideWhenUsed/>
    <w:rsid w:val="00B4523B"/>
    <w:pPr>
      <w:tabs>
        <w:tab w:val="center" w:pos="4819"/>
        <w:tab w:val="right" w:pos="9638"/>
      </w:tabs>
    </w:pPr>
  </w:style>
  <w:style w:type="character" w:customStyle="1" w:styleId="PidipaginaCarattere">
    <w:name w:val="Piè di pagina Carattere"/>
    <w:basedOn w:val="Caratterepredefinitoparagrafo"/>
    <w:link w:val="Pidipagina"/>
    <w:uiPriority w:val="99"/>
    <w:rsid w:val="00B4523B"/>
  </w:style>
  <w:style w:type="character" w:styleId="Numeropagina">
    <w:name w:val="page number"/>
    <w:basedOn w:val="Caratterepredefinitoparagrafo"/>
    <w:uiPriority w:val="99"/>
    <w:semiHidden/>
    <w:unhideWhenUsed/>
    <w:rsid w:val="00B4523B"/>
  </w:style>
  <w:style w:type="character" w:styleId="Collegamentovisitato">
    <w:name w:val="FollowedHyperlink"/>
    <w:basedOn w:val="Caratterepredefinitoparagrafo"/>
    <w:uiPriority w:val="99"/>
    <w:semiHidden/>
    <w:unhideWhenUsed/>
    <w:rsid w:val="00B452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brunomondadoristoria.it/fonti11385" TargetMode="External"/><Relationship Id="rId8" Type="http://schemas.openxmlformats.org/officeDocument/2006/relationships/hyperlink" Target="http://brunomondadoristoria.it/fonti11388" TargetMode="External"/><Relationship Id="rId9" Type="http://schemas.openxmlformats.org/officeDocument/2006/relationships/hyperlink" Target="http://www.pbmstoria.it/giornali11386" TargetMode="External"/><Relationship Id="rId1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2851</Words>
  <Characters>16256</Characters>
  <Application>Microsoft Macintosh Word</Application>
  <DocSecurity>0</DocSecurity>
  <Lines>135</Lines>
  <Paragraphs>38</Paragraphs>
  <ScaleCrop>false</ScaleCrop>
  <Company/>
  <LinksUpToDate>false</LinksUpToDate>
  <CharactersWithSpaces>19069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2012-05-25T07:45:00Z</dcterms:created>
  <dcterms:modified xsi:type="dcterms:W3CDTF">2012-05-25T07:48:00Z</dcterms:modified>
</cp:coreProperties>
</file>